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10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Unterhaltungspflegearbeiten an städtischen Straßenbegleitgrün 2027-2030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